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 informacji udzielają: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F45B5F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3E339B53" w14:textId="0274A3E0" w:rsidR="00295F7A" w:rsidRDefault="00BE1840" w:rsidP="002D485F">
            <w:pPr>
              <w:pStyle w:val="Nagwek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</w:pP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Goodyear </w:t>
            </w:r>
            <w:r w:rsidR="00356D5B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wspiera </w:t>
            </w: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floty transportowe w </w:t>
            </w:r>
            <w:r w:rsidR="00E04164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nowych wymogach </w:t>
            </w:r>
            <w:r w:rsidR="004B7C8C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dotyczących rozwiązań</w:t>
            </w:r>
            <w:r w:rsidR="007B3CBD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 TPMS </w:t>
            </w:r>
          </w:p>
          <w:p w14:paraId="451F3ABC" w14:textId="76F6F669" w:rsidR="00295F7A" w:rsidRDefault="00B1306F" w:rsidP="005C3BD9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2</w:t>
            </w:r>
            <w:r w:rsidR="00D349C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6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kwietnia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bookmarkStart w:id="0" w:name="_Hlk165011869"/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Od lipca br. unijny obowiązek stosowania systemów TPMS w oponach pojazdów ciężarowych obejmie </w:t>
            </w:r>
            <w:r w:rsidR="004257A9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także </w:t>
            </w:r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opony w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naczepach [1]. </w:t>
            </w:r>
            <w:r w:rsidR="000417A4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</w:t>
            </w:r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rzepisy</w:t>
            </w:r>
            <w:r w:rsidR="000417A4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–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0417A4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wprowadzane</w:t>
            </w:r>
            <w:r w:rsidR="00AD13D8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stopniowo od kilku lat </w:t>
            </w:r>
            <w:r w:rsidR="00F45B5F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AD13D8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050E42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wymagają, aby zmiana ciśnienia w oponie przekraczająca 20% była natychmiast sygnalizowana w kabinie pojazdu, dając kierowcy szybką informację o potencjalnym zagrożeniu.</w:t>
            </w:r>
            <w:r w:rsidR="00050E4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7113A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System TPMS firmy Goodyear już teraz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oferuje więcej niż</w:t>
            </w:r>
            <w:r w:rsidR="00E7113A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wymaga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ją </w:t>
            </w:r>
            <w:r w:rsidR="00E7113A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now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="00E7113A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regulacje prawne. Z racji </w:t>
            </w:r>
            <w:r w:rsidR="005C3BD9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wieloletni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ego</w:t>
            </w:r>
            <w:r w:rsidR="005C3BD9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doświadczeni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</w:t>
            </w:r>
            <w:r w:rsidR="005C3BD9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 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tej materii, Goodyear </w:t>
            </w:r>
            <w:r w:rsidR="005C3BD9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deklaruje wsparcie dla flot w adaptacji do nowych wymogów.</w:t>
            </w:r>
            <w:bookmarkEnd w:id="0"/>
          </w:p>
          <w:p w14:paraId="5F6AA6F2" w14:textId="1176D901" w:rsidR="005C3BD9" w:rsidRPr="005C3BD9" w:rsidRDefault="005C3BD9" w:rsidP="005C3BD9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Goodyear 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uważa nowe przepisy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za istotny krok </w:t>
            </w:r>
            <w:r w:rsidR="00990E0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do 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zwiększenia bezpieczeństwa i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efektywności pojazdów użytkowych.</w:t>
            </w:r>
            <w:r w:rsidR="00BE184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F80BC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</w:t>
            </w:r>
            <w:r w:rsidR="00F80BC1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kuteczność t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akich</w:t>
            </w:r>
            <w:r w:rsidR="00F80BC1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rozwiązań</w:t>
            </w:r>
            <w:r w:rsidR="00F80BC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potwierdzają doświadczenia flot</w:t>
            </w:r>
            <w:r w:rsidR="00BE184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transportowych</w:t>
            </w:r>
            <w:r w:rsidR="00F80BC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Dzięki wykorzystaniu 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rozwiązania</w:t>
            </w:r>
            <w:r w:rsidR="004257A9"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TPMS o</w:t>
            </w:r>
            <w:r w:rsidR="00BE184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ferowan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ego</w:t>
            </w:r>
            <w:r w:rsidR="00BE184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przez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Goodyear, niektóre firmy transportowe w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Europie zdołały obniżyć liczbę awarii opon nawet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90</w:t>
            </w:r>
            <w:r w:rsidR="00F80BC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% [2].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</w:p>
          <w:p w14:paraId="3DF81BA1" w14:textId="403054E3" w:rsidR="00221106" w:rsidRPr="00221106" w:rsidRDefault="00295F7A" w:rsidP="00221106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Dzięki wieloletniemu doświadczeniu w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tej dziedzinie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jesteśmy przygotowani, aby wspierać firmy </w:t>
            </w:r>
            <w:r w:rsidR="003D017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transportowe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spełnianiu wymogów nowych przepisów. 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Rozwiązanie Goodyear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TPMS został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4257A9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stworzon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="004257A9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 myślą o zapewnieniu bezpieczeństwa,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poprawy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efektywności paliw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owej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wydłużeniu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żywotności opon</w:t>
            </w:r>
            <w:r w:rsidR="00221106"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poprzez monitorowanie ciśnienia i temperatury opon w czasie rzeczywistym przy wsparciu przyjaznych dla użytkownika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221106"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inteligentnych aplikacji mobilnych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,”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wyjaśni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ł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Yves Sinner, dyrektor</w:t>
            </w:r>
            <w:r w:rsidR="005C3BD9"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ds. zarządzania </w:t>
            </w:r>
            <w:r w:rsid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usługami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obszarze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Fleet Mobility Solutions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 „O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fer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ujemy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klientom peł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en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pakiet usług, w tym instalacj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ę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czujników,</w:t>
            </w:r>
            <w:r w:rsidR="007315DE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obsługę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a także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oprogramowanie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związan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analizą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dany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ch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Floty mogą uzyskać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dostęp do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najnowocześniejs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zych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rozwiąza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ń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Goodyeara i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profesjonaln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ego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serwis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u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poinstalacyjn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ego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za pośrednictwem naszej sieci TruckForce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”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dodał Y. Sinner.</w:t>
            </w:r>
          </w:p>
          <w:p w14:paraId="307CB57F" w14:textId="2C76FEFC" w:rsidR="00295F7A" w:rsidRPr="00295F7A" w:rsidRDefault="00356D5B" w:rsidP="00295F7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Rozwiązanie</w:t>
            </w:r>
            <w:r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TPMS firmy Goodyear już teraz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oferuje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więcej niż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wymaga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ją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now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regulacje prawne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wykorzystując zaawansowane algorytmy do przewidywania potencjalnych problemów. To nie tylko 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poprawia bezpieczeństwo, </w:t>
            </w:r>
            <w:r w:rsidR="007315DE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radykalnie zmniejszając ilość 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awari</w:t>
            </w:r>
            <w:r w:rsidR="007315DE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ale także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zwiększa oszczędność paliwa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oraz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wydłuża żywotność opon dzięki nowoczesnym metodom zbierania danych.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Podczas gdy przepisy wymagają, aby TPMS ostrzegał kierowcę o 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zaistniałym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problemie z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ciśnieniem, 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rozwiązanie</w:t>
            </w:r>
            <w:r w:rsidR="004257A9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Goodyear TPMS może również </w:t>
            </w:r>
            <w:r w:rsidR="007B3CB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zaalarmować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zaplecze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techniczne</w:t>
            </w:r>
            <w:r w:rsidR="007B3CB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 wykrytych anomaliach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zanim utrata ciśnienia stanie się poważna</w:t>
            </w:r>
            <w:r w:rsidR="00B91521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co pozwala na szybką reakcję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współpracuje z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 swoimi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partnerami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0B14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lastRenderedPageBreak/>
              <w:t>biznesowymi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aby zapewnić płynną integrację i zgodność z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221106" w:rsidRPr="00221106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nadchodzącymi regulacjami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r w:rsidR="00295F7A"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Firma w pełni rozumie znaczenie proaktywnych rozwiązań w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295F7A"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zwiększaniu bezpieczeństwa na drogach i wydajności floty oraz zobowiązuje się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wspierać branżę transportową w dostosowaniu się do nowych wymogów prawnych.</w:t>
            </w:r>
          </w:p>
          <w:p w14:paraId="3B4B9A36" w14:textId="6C20DF43" w:rsidR="00295F7A" w:rsidRPr="00295F7A" w:rsidRDefault="00295F7A" w:rsidP="00295F7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Rozwiązanie Goodyear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TPMS został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56D5B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opracowan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aby zapewnić niezawodność i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spokój ducha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naszym klientom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jednocześnie spełniając wymagania określone w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najnowszych przepisach. Jest to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jeden 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kluczowy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ch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element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ów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oferty Goodyear Total Mobility, która łączy w sobie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wysokiej 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jakoś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ci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opon</w:t>
            </w:r>
            <w:r w:rsidR="00E7113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</w:t>
            </w:r>
            <w:r w:rsidR="00B91521" w:rsidRP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premium marki Goodyear, efektywność innowacyjnych systemów zarządzania oponami oraz wsparcie 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sieci 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serwisów – </w:t>
            </w:r>
            <w:r w:rsid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partnerów</w:t>
            </w:r>
            <w:r w:rsidR="004257A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,”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podsumow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ał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Piotr Czyżyk,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yrektor zarządzający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Goodyear 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ds. mobilności flot w regionie EMEA.</w:t>
            </w:r>
          </w:p>
          <w:p w14:paraId="5E67E8A0" w14:textId="6A7C73DA" w:rsidR="00295F7A" w:rsidRPr="00295F7A" w:rsidRDefault="00295F7A" w:rsidP="00295F7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Więcej informacji na temat systemu Goodyear TPMS</w:t>
            </w:r>
            <w:r w:rsidR="00B91521" w:rsidRP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na stronie</w:t>
            </w:r>
            <w:r w:rsidRPr="00356D5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: </w:t>
            </w:r>
            <w:hyperlink r:id="rId9" w:history="1">
              <w:r w:rsidR="00F45B5F" w:rsidRPr="00F45B5F">
                <w:rPr>
                  <w:rStyle w:val="Hipercze"/>
                  <w:szCs w:val="22"/>
                  <w:lang w:val="pl-PL"/>
                </w:rPr>
                <w:t>https://www.goodyear.eu/pl_pl/truck/tyre-management/tpms.html</w:t>
              </w:r>
            </w:hyperlink>
            <w:r w:rsidR="00F45B5F" w:rsidRPr="00F45B5F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</w:p>
          <w:p w14:paraId="5E990F31" w14:textId="77777777" w:rsidR="00295F7A" w:rsidRPr="00295F7A" w:rsidRDefault="00295F7A" w:rsidP="00295F7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________________________________________</w:t>
            </w:r>
          </w:p>
          <w:p w14:paraId="30E8B2E1" w14:textId="0E5E8321" w:rsidR="00295F7A" w:rsidRPr="00295F7A" w:rsidRDefault="00295F7A" w:rsidP="00295F7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[1] Klasyfikacja typów pojazdów w UE: </w:t>
            </w:r>
            <w:hyperlink r:id="rId10" w:history="1">
              <w:r w:rsidR="00F45B5F" w:rsidRPr="00881FA7">
                <w:rPr>
                  <w:rStyle w:val="Hipercze"/>
                  <w:rFonts w:eastAsiaTheme="minorEastAsia" w:cs="Arial"/>
                  <w:kern w:val="2"/>
                  <w:szCs w:val="22"/>
                  <w:lang w:val="pl-PL" w:eastAsia="en-US"/>
                  <w14:ligatures w14:val="standardContextual"/>
                </w:rPr>
                <w:t>https://alternative-fuels-observatory.ec.europa.eu/general-information/vehicle-types</w:t>
              </w:r>
            </w:hyperlink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</w:p>
          <w:p w14:paraId="4757BD46" w14:textId="44BF00AF" w:rsidR="00295F7A" w:rsidRDefault="00295F7A" w:rsidP="00B91521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[2] Porównanie 50 flot przed i po zainstalowaniu systemu TPMS Goodyeara, 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 podstawie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ankiet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przeprowadzon</w:t>
            </w:r>
            <w:r w:rsidR="00B91521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ej</w:t>
            </w:r>
            <w:r w:rsidRP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przez Goodyear w 2019 r.</w:t>
            </w:r>
          </w:p>
          <w:p w14:paraId="2BAC0284" w14:textId="73B379E2" w:rsidR="00B1306F" w:rsidRPr="007B3CBD" w:rsidRDefault="00B1306F" w:rsidP="00295F7A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</w:p>
          <w:p w14:paraId="75270292" w14:textId="3A6DB24D" w:rsidR="005A3E02" w:rsidRPr="005C3BD9" w:rsidRDefault="00B1306F" w:rsidP="00B1306F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Goodyear i jej produktach można znaleźć na  https://news.goodyear.eu/pl-pl/.  </w:t>
            </w:r>
          </w:p>
          <w:p w14:paraId="46F69C36" w14:textId="595BAB54" w:rsidR="00362761" w:rsidRPr="00EC60AE" w:rsidRDefault="00362761" w:rsidP="00634EDC">
            <w:pPr>
              <w:pStyle w:val="BODY"/>
              <w:jc w:val="center"/>
              <w:rPr>
                <w:lang w:val="pl-PL"/>
              </w:rPr>
            </w:pPr>
          </w:p>
          <w:p w14:paraId="7DD3AFA9" w14:textId="77777777" w:rsidR="000422E7" w:rsidRPr="005C3BD9" w:rsidRDefault="000422E7" w:rsidP="0032228A">
            <w:pPr>
              <w:spacing w:after="240"/>
              <w:ind w:left="-100"/>
              <w:rPr>
                <w:rFonts w:ascii="Barlow" w:hAnsi="Barlow" w:cs="Arial"/>
                <w:sz w:val="22"/>
                <w:szCs w:val="22"/>
                <w:lang w:val="pl-PL"/>
              </w:rPr>
            </w:pPr>
          </w:p>
        </w:tc>
      </w:tr>
    </w:tbl>
    <w:p w14:paraId="4C5C123E" w14:textId="77777777" w:rsidR="00EA6ECE" w:rsidRPr="00EC60AE" w:rsidRDefault="00EA6ECE" w:rsidP="00046E56">
      <w:pPr>
        <w:rPr>
          <w:lang w:val="pl-PL"/>
        </w:rPr>
      </w:pPr>
    </w:p>
    <w:sectPr w:rsidR="00EA6ECE" w:rsidRPr="00EC60AE" w:rsidSect="00034364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3DB4" w14:textId="77777777" w:rsidR="007C3C24" w:rsidRDefault="007C3C24" w:rsidP="00843DB1">
      <w:r>
        <w:separator/>
      </w:r>
    </w:p>
    <w:p w14:paraId="7DCB0106" w14:textId="77777777" w:rsidR="007C3C24" w:rsidRDefault="007C3C24"/>
  </w:endnote>
  <w:endnote w:type="continuationSeparator" w:id="0">
    <w:p w14:paraId="5F0B9F59" w14:textId="77777777" w:rsidR="007C3C24" w:rsidRDefault="007C3C24" w:rsidP="00843DB1">
      <w:r>
        <w:continuationSeparator/>
      </w:r>
    </w:p>
    <w:p w14:paraId="5BED0D8B" w14:textId="77777777" w:rsidR="007C3C24" w:rsidRDefault="007C3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C0906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E9E8" w14:textId="77777777" w:rsidR="007C3C24" w:rsidRDefault="007C3C24" w:rsidP="00843DB1">
      <w:r>
        <w:separator/>
      </w:r>
    </w:p>
    <w:p w14:paraId="5A3E1E7B" w14:textId="77777777" w:rsidR="007C3C24" w:rsidRDefault="007C3C24"/>
  </w:footnote>
  <w:footnote w:type="continuationSeparator" w:id="0">
    <w:p w14:paraId="32E5F5AF" w14:textId="77777777" w:rsidR="007C3C24" w:rsidRDefault="007C3C24" w:rsidP="00843DB1">
      <w:r>
        <w:continuationSeparator/>
      </w:r>
    </w:p>
    <w:p w14:paraId="3B0F085A" w14:textId="77777777" w:rsidR="007C3C24" w:rsidRDefault="007C3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11B2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5"/>
  </w:num>
  <w:num w:numId="2" w16cid:durableId="1197547242">
    <w:abstractNumId w:val="3"/>
  </w:num>
  <w:num w:numId="3" w16cid:durableId="746071160">
    <w:abstractNumId w:val="1"/>
  </w:num>
  <w:num w:numId="4" w16cid:durableId="1266621793">
    <w:abstractNumId w:val="0"/>
  </w:num>
  <w:num w:numId="5" w16cid:durableId="1435705712">
    <w:abstractNumId w:val="4"/>
  </w:num>
  <w:num w:numId="6" w16cid:durableId="537620543">
    <w:abstractNumId w:val="2"/>
  </w:num>
  <w:num w:numId="7" w16cid:durableId="768087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930CF"/>
    <w:rsid w:val="000A17A6"/>
    <w:rsid w:val="000A6657"/>
    <w:rsid w:val="000B14DC"/>
    <w:rsid w:val="000C107F"/>
    <w:rsid w:val="000E0E24"/>
    <w:rsid w:val="000E51E6"/>
    <w:rsid w:val="00113602"/>
    <w:rsid w:val="0014222B"/>
    <w:rsid w:val="001554C8"/>
    <w:rsid w:val="001906CF"/>
    <w:rsid w:val="001A566F"/>
    <w:rsid w:val="001D67E6"/>
    <w:rsid w:val="00201F78"/>
    <w:rsid w:val="00221106"/>
    <w:rsid w:val="002236D8"/>
    <w:rsid w:val="00241AFB"/>
    <w:rsid w:val="00263B70"/>
    <w:rsid w:val="002749F0"/>
    <w:rsid w:val="00295F7A"/>
    <w:rsid w:val="002B15FA"/>
    <w:rsid w:val="002C3B75"/>
    <w:rsid w:val="002C5921"/>
    <w:rsid w:val="002D485F"/>
    <w:rsid w:val="002E790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6807"/>
    <w:rsid w:val="0038257B"/>
    <w:rsid w:val="003A43DD"/>
    <w:rsid w:val="003A70F3"/>
    <w:rsid w:val="003B2E83"/>
    <w:rsid w:val="003B7794"/>
    <w:rsid w:val="003C1734"/>
    <w:rsid w:val="003D0175"/>
    <w:rsid w:val="003D1647"/>
    <w:rsid w:val="003D51B6"/>
    <w:rsid w:val="003F768A"/>
    <w:rsid w:val="0040231F"/>
    <w:rsid w:val="004109D6"/>
    <w:rsid w:val="004149B2"/>
    <w:rsid w:val="004257A9"/>
    <w:rsid w:val="00451543"/>
    <w:rsid w:val="0046506D"/>
    <w:rsid w:val="00484116"/>
    <w:rsid w:val="004910C2"/>
    <w:rsid w:val="00492E51"/>
    <w:rsid w:val="00494CE9"/>
    <w:rsid w:val="004A4209"/>
    <w:rsid w:val="004A4D8E"/>
    <w:rsid w:val="004A761C"/>
    <w:rsid w:val="004B0EE8"/>
    <w:rsid w:val="004B21A3"/>
    <w:rsid w:val="004B5571"/>
    <w:rsid w:val="004B7C8C"/>
    <w:rsid w:val="004E43EF"/>
    <w:rsid w:val="004F5BD0"/>
    <w:rsid w:val="00500E1B"/>
    <w:rsid w:val="00522D81"/>
    <w:rsid w:val="00523FB1"/>
    <w:rsid w:val="00546CD5"/>
    <w:rsid w:val="005A3E02"/>
    <w:rsid w:val="005B26B6"/>
    <w:rsid w:val="005C091F"/>
    <w:rsid w:val="005C3BD9"/>
    <w:rsid w:val="005D6D19"/>
    <w:rsid w:val="0060394A"/>
    <w:rsid w:val="00634EDC"/>
    <w:rsid w:val="00663654"/>
    <w:rsid w:val="00664C0B"/>
    <w:rsid w:val="0067169F"/>
    <w:rsid w:val="00675E63"/>
    <w:rsid w:val="00694613"/>
    <w:rsid w:val="0069740D"/>
    <w:rsid w:val="006C5881"/>
    <w:rsid w:val="006D3688"/>
    <w:rsid w:val="006E6A91"/>
    <w:rsid w:val="00707053"/>
    <w:rsid w:val="00720D8A"/>
    <w:rsid w:val="007315DE"/>
    <w:rsid w:val="00731DFC"/>
    <w:rsid w:val="007322BF"/>
    <w:rsid w:val="00735631"/>
    <w:rsid w:val="007527BF"/>
    <w:rsid w:val="00785348"/>
    <w:rsid w:val="007A2237"/>
    <w:rsid w:val="007A45EE"/>
    <w:rsid w:val="007A7CBC"/>
    <w:rsid w:val="007B1235"/>
    <w:rsid w:val="007B3CBD"/>
    <w:rsid w:val="007B3FF5"/>
    <w:rsid w:val="007B4708"/>
    <w:rsid w:val="007C3C24"/>
    <w:rsid w:val="007D6B8F"/>
    <w:rsid w:val="007F13DA"/>
    <w:rsid w:val="007F2BE0"/>
    <w:rsid w:val="00801E03"/>
    <w:rsid w:val="00801E49"/>
    <w:rsid w:val="00815BEE"/>
    <w:rsid w:val="00837141"/>
    <w:rsid w:val="008407C8"/>
    <w:rsid w:val="00843DB1"/>
    <w:rsid w:val="0085190F"/>
    <w:rsid w:val="008A1EB9"/>
    <w:rsid w:val="008A3A0E"/>
    <w:rsid w:val="008B110E"/>
    <w:rsid w:val="008B4466"/>
    <w:rsid w:val="008C53A0"/>
    <w:rsid w:val="008D3F44"/>
    <w:rsid w:val="008E0840"/>
    <w:rsid w:val="008F24AE"/>
    <w:rsid w:val="00902A3F"/>
    <w:rsid w:val="009122F4"/>
    <w:rsid w:val="0091517B"/>
    <w:rsid w:val="009324A0"/>
    <w:rsid w:val="00953D4A"/>
    <w:rsid w:val="00961CB4"/>
    <w:rsid w:val="009622C7"/>
    <w:rsid w:val="00971391"/>
    <w:rsid w:val="00973F88"/>
    <w:rsid w:val="00975DC9"/>
    <w:rsid w:val="00984B5E"/>
    <w:rsid w:val="00984FDA"/>
    <w:rsid w:val="00990E09"/>
    <w:rsid w:val="00994CCD"/>
    <w:rsid w:val="009A334D"/>
    <w:rsid w:val="009B01BD"/>
    <w:rsid w:val="009B4D55"/>
    <w:rsid w:val="009D240E"/>
    <w:rsid w:val="009E3682"/>
    <w:rsid w:val="009E6530"/>
    <w:rsid w:val="009F1B7E"/>
    <w:rsid w:val="00A0778F"/>
    <w:rsid w:val="00A14B01"/>
    <w:rsid w:val="00A14B5F"/>
    <w:rsid w:val="00A16476"/>
    <w:rsid w:val="00A212EE"/>
    <w:rsid w:val="00A408E1"/>
    <w:rsid w:val="00A4447D"/>
    <w:rsid w:val="00A65982"/>
    <w:rsid w:val="00A731F0"/>
    <w:rsid w:val="00A73244"/>
    <w:rsid w:val="00A74E5A"/>
    <w:rsid w:val="00A942B1"/>
    <w:rsid w:val="00AC5BAC"/>
    <w:rsid w:val="00AD0AEE"/>
    <w:rsid w:val="00AD13D8"/>
    <w:rsid w:val="00AE59E5"/>
    <w:rsid w:val="00B006D9"/>
    <w:rsid w:val="00B03C98"/>
    <w:rsid w:val="00B1215D"/>
    <w:rsid w:val="00B1306F"/>
    <w:rsid w:val="00B22B37"/>
    <w:rsid w:val="00B25844"/>
    <w:rsid w:val="00B34E48"/>
    <w:rsid w:val="00B41545"/>
    <w:rsid w:val="00B717DE"/>
    <w:rsid w:val="00B91521"/>
    <w:rsid w:val="00B92D66"/>
    <w:rsid w:val="00B94FBE"/>
    <w:rsid w:val="00BE1840"/>
    <w:rsid w:val="00C16D73"/>
    <w:rsid w:val="00C17ADF"/>
    <w:rsid w:val="00C203E5"/>
    <w:rsid w:val="00C35694"/>
    <w:rsid w:val="00C417ED"/>
    <w:rsid w:val="00C620BF"/>
    <w:rsid w:val="00C9665D"/>
    <w:rsid w:val="00CB64B4"/>
    <w:rsid w:val="00CB7944"/>
    <w:rsid w:val="00CC4C9D"/>
    <w:rsid w:val="00CD10E0"/>
    <w:rsid w:val="00CF77B1"/>
    <w:rsid w:val="00D1356B"/>
    <w:rsid w:val="00D245CA"/>
    <w:rsid w:val="00D25684"/>
    <w:rsid w:val="00D27761"/>
    <w:rsid w:val="00D349C5"/>
    <w:rsid w:val="00D42554"/>
    <w:rsid w:val="00D5661E"/>
    <w:rsid w:val="00D63438"/>
    <w:rsid w:val="00D74B1F"/>
    <w:rsid w:val="00D85859"/>
    <w:rsid w:val="00D93046"/>
    <w:rsid w:val="00DA16D8"/>
    <w:rsid w:val="00DB0BF9"/>
    <w:rsid w:val="00DB6E36"/>
    <w:rsid w:val="00DC3AC8"/>
    <w:rsid w:val="00DC5D89"/>
    <w:rsid w:val="00DC6A0E"/>
    <w:rsid w:val="00DF31D7"/>
    <w:rsid w:val="00E04164"/>
    <w:rsid w:val="00E0573C"/>
    <w:rsid w:val="00E34121"/>
    <w:rsid w:val="00E51C83"/>
    <w:rsid w:val="00E57AF2"/>
    <w:rsid w:val="00E70DEA"/>
    <w:rsid w:val="00E7113A"/>
    <w:rsid w:val="00E81DE4"/>
    <w:rsid w:val="00E913CB"/>
    <w:rsid w:val="00EA6ECE"/>
    <w:rsid w:val="00EC4F1A"/>
    <w:rsid w:val="00EC60AE"/>
    <w:rsid w:val="00EE623A"/>
    <w:rsid w:val="00EE6D99"/>
    <w:rsid w:val="00EF21DE"/>
    <w:rsid w:val="00F04FA8"/>
    <w:rsid w:val="00F27EA2"/>
    <w:rsid w:val="00F35A51"/>
    <w:rsid w:val="00F45B5F"/>
    <w:rsid w:val="00F469AC"/>
    <w:rsid w:val="00F52BD3"/>
    <w:rsid w:val="00F77477"/>
    <w:rsid w:val="00F80BC1"/>
    <w:rsid w:val="00F9699D"/>
    <w:rsid w:val="00F96DB8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lternative-fuels-observatory.ec.europa.eu/general-information/vehicle-typ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dyear.eu/pl_pl/truck/tyre-management/tpms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2</cp:revision>
  <dcterms:created xsi:type="dcterms:W3CDTF">2024-04-26T06:33:00Z</dcterms:created>
  <dcterms:modified xsi:type="dcterms:W3CDTF">2024-04-26T06:33:00Z</dcterms:modified>
</cp:coreProperties>
</file>